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FC7" w:rsidRDefault="00FB0FC7" w:rsidP="00FB0FC7">
      <w:pPr>
        <w:autoSpaceDE w:val="0"/>
        <w:autoSpaceDN w:val="0"/>
        <w:adjustRightInd w:val="0"/>
        <w:jc w:val="left"/>
        <w:rPr>
          <w:rFonts w:ascii="Times New Roman" w:eastAsia="FZHTK--GBK1-0" w:hAnsi="Times New Roman" w:cs="Times New Roman"/>
          <w:kern w:val="0"/>
          <w:sz w:val="32"/>
          <w:szCs w:val="32"/>
        </w:rPr>
      </w:pPr>
      <w:r>
        <w:rPr>
          <w:rFonts w:ascii="FZHTK--GBK1-0" w:eastAsia="FZHTK--GBK1-0" w:cs="FZHTK--GBK1-0" w:hint="eastAsia"/>
          <w:kern w:val="0"/>
          <w:sz w:val="32"/>
          <w:szCs w:val="32"/>
        </w:rPr>
        <w:t>附件</w:t>
      </w:r>
      <w:r>
        <w:rPr>
          <w:rFonts w:ascii="Times New Roman" w:eastAsia="FZHTK--GBK1-0" w:hAnsi="Times New Roman" w:cs="Times New Roman"/>
          <w:kern w:val="0"/>
          <w:sz w:val="32"/>
          <w:szCs w:val="32"/>
        </w:rPr>
        <w:t>1</w:t>
      </w:r>
    </w:p>
    <w:p w:rsidR="00FB0FC7" w:rsidRPr="00FB0FC7" w:rsidRDefault="00FB0FC7" w:rsidP="00FB0FC7">
      <w:pPr>
        <w:autoSpaceDE w:val="0"/>
        <w:autoSpaceDN w:val="0"/>
        <w:adjustRightInd w:val="0"/>
        <w:jc w:val="center"/>
        <w:rPr>
          <w:rFonts w:ascii="FZXBSK--GBK1-0" w:eastAsia="FZXBSK--GBK1-0" w:cs="FZXBSK--GBK1-0"/>
          <w:b/>
          <w:kern w:val="0"/>
          <w:sz w:val="44"/>
          <w:szCs w:val="44"/>
        </w:rPr>
      </w:pPr>
      <w:bookmarkStart w:id="0" w:name="_GoBack"/>
      <w:r w:rsidRPr="00FB0FC7">
        <w:rPr>
          <w:rFonts w:ascii="Times New Roman" w:eastAsia="FZHTK--GBK1-0" w:hAnsi="Times New Roman" w:cs="Times New Roman"/>
          <w:b/>
          <w:kern w:val="0"/>
          <w:sz w:val="44"/>
          <w:szCs w:val="44"/>
        </w:rPr>
        <w:t>2020</w:t>
      </w:r>
      <w:r w:rsidRPr="00FB0FC7">
        <w:rPr>
          <w:rFonts w:ascii="FZXBSK--GBK1-0" w:eastAsia="FZXBSK--GBK1-0" w:cs="FZXBSK--GBK1-0" w:hint="eastAsia"/>
          <w:b/>
          <w:kern w:val="0"/>
          <w:sz w:val="44"/>
          <w:szCs w:val="44"/>
        </w:rPr>
        <w:t>年度</w:t>
      </w:r>
      <w:proofErr w:type="gramStart"/>
      <w:r w:rsidRPr="00FB0FC7">
        <w:rPr>
          <w:rFonts w:ascii="FZXBSK--GBK1-0" w:eastAsia="FZXBSK--GBK1-0" w:cs="FZXBSK--GBK1-0" w:hint="eastAsia"/>
          <w:b/>
          <w:kern w:val="0"/>
          <w:sz w:val="44"/>
          <w:szCs w:val="44"/>
        </w:rPr>
        <w:t>省政策</w:t>
      </w:r>
      <w:proofErr w:type="gramEnd"/>
      <w:r w:rsidRPr="00FB0FC7">
        <w:rPr>
          <w:rFonts w:ascii="FZXBSK--GBK1-0" w:eastAsia="FZXBSK--GBK1-0" w:cs="FZXBSK--GBK1-0" w:hint="eastAsia"/>
          <w:b/>
          <w:kern w:val="0"/>
          <w:sz w:val="44"/>
          <w:szCs w:val="44"/>
        </w:rPr>
        <w:t>引导类计划（软科学研究）项目指南</w:t>
      </w:r>
    </w:p>
    <w:bookmarkEnd w:id="0"/>
    <w:p w:rsidR="00FB0FC7" w:rsidRDefault="00FB0FC7" w:rsidP="00FB0FC7">
      <w:pPr>
        <w:autoSpaceDE w:val="0"/>
        <w:autoSpaceDN w:val="0"/>
        <w:adjustRightInd w:val="0"/>
        <w:jc w:val="left"/>
        <w:rPr>
          <w:rFonts w:ascii="FZHTK--GBK1-0" w:eastAsia="FZHTK--GBK1-0" w:cs="FZHTK--GBK1-0"/>
          <w:kern w:val="0"/>
          <w:sz w:val="32"/>
          <w:szCs w:val="32"/>
        </w:rPr>
      </w:pPr>
      <w:r>
        <w:rPr>
          <w:rFonts w:ascii="Times New Roman" w:eastAsia="FZHTK--GBK1-0" w:hAnsi="Times New Roman" w:cs="Times New Roman"/>
          <w:kern w:val="0"/>
          <w:sz w:val="32"/>
          <w:szCs w:val="32"/>
        </w:rPr>
        <w:t xml:space="preserve">0001 </w:t>
      </w:r>
      <w:r>
        <w:rPr>
          <w:rFonts w:ascii="FZHTK--GBK1-0" w:eastAsia="FZHTK--GBK1-0" w:cs="FZHTK--GBK1-0" w:hint="eastAsia"/>
          <w:kern w:val="0"/>
          <w:sz w:val="32"/>
          <w:szCs w:val="32"/>
        </w:rPr>
        <w:t>创新治理与载体建设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重点包括：科技创新治理体系与治理能力现代化研究；科研诚信与科技伦理治理体制完善研究；科研监管机制建设研究；科技领域重大风险识别及应对策略研究；产学研深度融合的技术创新体系构建案例研究；重大科技基础设施建设及运行机制研究；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新型研发机构建设路径及支持策略研究；现代科研院所创新能力提升和绩效评价路径研究；科技公共服务平台布局及运行机制研究；财税政策创新激励效应研究；科技创业投资风险补偿机制研究；发达国家科技行政管理模式研究；发达国家技术交易绩效比较研究；“双创”升级背景下科技创业孵化载体建设路径分析。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HTK--GBK1-0" w:eastAsia="FZHTK--GBK1-0" w:cs="FZHTK--GBK1-0"/>
          <w:kern w:val="0"/>
          <w:sz w:val="32"/>
          <w:szCs w:val="32"/>
        </w:rPr>
      </w:pPr>
      <w:r>
        <w:rPr>
          <w:rFonts w:ascii="Times New Roman" w:eastAsia="FZHTK--GBK1-0" w:hAnsi="Times New Roman" w:cs="Times New Roman"/>
          <w:kern w:val="0"/>
          <w:sz w:val="32"/>
          <w:szCs w:val="32"/>
        </w:rPr>
        <w:t xml:space="preserve">0002 </w:t>
      </w:r>
      <w:r>
        <w:rPr>
          <w:rFonts w:ascii="FZHTK--GBK1-0" w:eastAsia="FZHTK--GBK1-0" w:cs="FZHTK--GBK1-0" w:hint="eastAsia"/>
          <w:kern w:val="0"/>
          <w:sz w:val="32"/>
          <w:szCs w:val="32"/>
        </w:rPr>
        <w:t>企业创新与产业创新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重点包括：科技企业创新内生动力机制研究；外向型科技企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业创新发展路径研究；江苏企业</w:t>
      </w:r>
      <w:proofErr w:type="gramStart"/>
      <w:r>
        <w:rPr>
          <w:rFonts w:ascii="FZFSK--GBK1-0" w:eastAsia="FZFSK--GBK1-0" w:cs="FZFSK--GBK1-0" w:hint="eastAsia"/>
          <w:kern w:val="0"/>
          <w:sz w:val="32"/>
          <w:szCs w:val="32"/>
        </w:rPr>
        <w:t>科创板</w:t>
      </w:r>
      <w:proofErr w:type="gramEnd"/>
      <w:r>
        <w:rPr>
          <w:rFonts w:ascii="FZFSK--GBK1-0" w:eastAsia="FZFSK--GBK1-0" w:cs="FZFSK--GBK1-0" w:hint="eastAsia"/>
          <w:kern w:val="0"/>
          <w:sz w:val="32"/>
          <w:szCs w:val="32"/>
        </w:rPr>
        <w:t>上市路径研究；科技型上市企业高质量发展路径研究；企业研发机构创新效率及绩效评价研究；科技型中小企业融资研究；新形势下江苏先进制造业集群竞争力提升路径研究；关键核心技术突破路径研究；人工智能、区块链等前瞻性产业和技术发展研究；科</w:t>
      </w:r>
      <w:r>
        <w:rPr>
          <w:rFonts w:ascii="FZFSK--GBK1-0" w:eastAsia="FZFSK--GBK1-0" w:cs="FZFSK--GBK1-0" w:hint="eastAsia"/>
          <w:kern w:val="0"/>
          <w:sz w:val="32"/>
          <w:szCs w:val="32"/>
        </w:rPr>
        <w:lastRenderedPageBreak/>
        <w:t>技金融发展策略研究；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基于专利分析的战略性新兴产业布局与发展思路研究。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HTK--GBK1-0" w:eastAsia="FZHTK--GBK1-0" w:cs="FZHTK--GBK1-0"/>
          <w:kern w:val="0"/>
          <w:sz w:val="32"/>
          <w:szCs w:val="32"/>
        </w:rPr>
      </w:pPr>
      <w:r>
        <w:rPr>
          <w:rFonts w:ascii="Times New Roman" w:eastAsia="FZHTK--GBK1-0" w:hAnsi="Times New Roman" w:cs="Times New Roman"/>
          <w:kern w:val="0"/>
          <w:sz w:val="32"/>
          <w:szCs w:val="32"/>
        </w:rPr>
        <w:t xml:space="preserve">0003 </w:t>
      </w:r>
      <w:r>
        <w:rPr>
          <w:rFonts w:ascii="FZHTK--GBK1-0" w:eastAsia="FZHTK--GBK1-0" w:cs="FZHTK--GBK1-0" w:hint="eastAsia"/>
          <w:kern w:val="0"/>
          <w:sz w:val="32"/>
          <w:szCs w:val="32"/>
        </w:rPr>
        <w:t>社会发展与区域创新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重点包括：国家创新力量在苏布局的路径研究；农村新型科技服务体系构建研究；绿色发展创新实践及案例研究；科技创新领域安全生产及应急管理机制研究；科技支撑农作物秸秆综合利用路径与政策研究；生物安全科技发展策略研究；民生科技重点领域选择机制研究；提升江苏自贸试验区创新国际化水平对策研究；苏南国家自主创新示范区创新一体化机制研究；长三角一体化背景下江苏城市创新路径研究；江苏深度融入“一带一路”加快创新合作策略研究。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HTK--GBK1-0" w:eastAsia="FZHTK--GBK1-0" w:cs="FZHTK--GBK1-0"/>
          <w:kern w:val="0"/>
          <w:sz w:val="32"/>
          <w:szCs w:val="32"/>
        </w:rPr>
      </w:pPr>
      <w:r>
        <w:rPr>
          <w:rFonts w:ascii="Times New Roman" w:eastAsia="FZHTK--GBK1-0" w:hAnsi="Times New Roman" w:cs="Times New Roman"/>
          <w:kern w:val="0"/>
          <w:sz w:val="32"/>
          <w:szCs w:val="32"/>
        </w:rPr>
        <w:t xml:space="preserve">0004 </w:t>
      </w:r>
      <w:r>
        <w:rPr>
          <w:rFonts w:ascii="FZHTK--GBK1-0" w:eastAsia="FZHTK--GBK1-0" w:cs="FZHTK--GBK1-0" w:hint="eastAsia"/>
          <w:kern w:val="0"/>
          <w:sz w:val="32"/>
          <w:szCs w:val="32"/>
        </w:rPr>
        <w:t>科技人才与创新生态</w:t>
      </w:r>
    </w:p>
    <w:p w:rsidR="00FB0FC7" w:rsidRP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重点包括：科技人才差异</w:t>
      </w:r>
      <w:proofErr w:type="gramStart"/>
      <w:r>
        <w:rPr>
          <w:rFonts w:ascii="FZFSK--GBK1-0" w:eastAsia="FZFSK--GBK1-0" w:cs="FZFSK--GBK1-0" w:hint="eastAsia"/>
          <w:kern w:val="0"/>
          <w:sz w:val="32"/>
          <w:szCs w:val="32"/>
        </w:rPr>
        <w:t>化评价</w:t>
      </w:r>
      <w:proofErr w:type="gramEnd"/>
      <w:r>
        <w:rPr>
          <w:rFonts w:ascii="FZFSK--GBK1-0" w:eastAsia="FZFSK--GBK1-0" w:cs="FZFSK--GBK1-0" w:hint="eastAsia"/>
          <w:kern w:val="0"/>
          <w:sz w:val="32"/>
          <w:szCs w:val="32"/>
        </w:rPr>
        <w:t>机制研究；本土创新型人才培育机制研究；青年科技人才</w:t>
      </w:r>
      <w:proofErr w:type="gramStart"/>
      <w:r>
        <w:rPr>
          <w:rFonts w:ascii="FZFSK--GBK1-0" w:eastAsia="FZFSK--GBK1-0" w:cs="FZFSK--GBK1-0" w:hint="eastAsia"/>
          <w:kern w:val="0"/>
          <w:sz w:val="32"/>
          <w:szCs w:val="32"/>
        </w:rPr>
        <w:t>引培机制</w:t>
      </w:r>
      <w:proofErr w:type="gramEnd"/>
      <w:r>
        <w:rPr>
          <w:rFonts w:ascii="FZFSK--GBK1-0" w:eastAsia="FZFSK--GBK1-0" w:cs="FZFSK--GBK1-0" w:hint="eastAsia"/>
          <w:kern w:val="0"/>
          <w:sz w:val="32"/>
          <w:szCs w:val="32"/>
        </w:rPr>
        <w:t>研究；高校院所人才良性流动机制研究；外国专家吸引集聚和联系服务机制研究；企业家创新能力提升策略研究；高新区创新资源集聚路径研究；科技资源开放共享机制研究。</w:t>
      </w:r>
    </w:p>
    <w:p w:rsidR="00FB0FC7" w:rsidRDefault="00FB0FC7">
      <w:pPr>
        <w:widowControl/>
        <w:jc w:val="left"/>
        <w:rPr>
          <w:rFonts w:ascii="黑体" w:eastAsia="黑体" w:cs="黑体"/>
          <w:kern w:val="0"/>
          <w:sz w:val="32"/>
          <w:szCs w:val="32"/>
        </w:rPr>
      </w:pPr>
      <w:r>
        <w:rPr>
          <w:rFonts w:ascii="黑体" w:eastAsia="黑体" w:cs="黑体"/>
          <w:kern w:val="0"/>
          <w:sz w:val="32"/>
          <w:szCs w:val="32"/>
        </w:rPr>
        <w:br w:type="page"/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Times New Roman" w:eastAsia="FZHTK--GBK1-0" w:hAnsi="Times New Roman" w:cs="Times New Roman"/>
          <w:kern w:val="0"/>
          <w:sz w:val="32"/>
          <w:szCs w:val="32"/>
        </w:rPr>
      </w:pPr>
      <w:r>
        <w:rPr>
          <w:rFonts w:ascii="黑体" w:eastAsia="黑体" w:cs="黑体" w:hint="eastAsia"/>
          <w:kern w:val="0"/>
          <w:sz w:val="32"/>
          <w:szCs w:val="32"/>
        </w:rPr>
        <w:lastRenderedPageBreak/>
        <w:t>附件</w:t>
      </w:r>
      <w:r>
        <w:rPr>
          <w:rFonts w:ascii="Times New Roman" w:eastAsia="FZHTK--GBK1-0" w:hAnsi="Times New Roman" w:cs="Times New Roman"/>
          <w:kern w:val="0"/>
          <w:sz w:val="32"/>
          <w:szCs w:val="32"/>
        </w:rPr>
        <w:t>2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XBSK--GBK1-0" w:eastAsia="FZXBSK--GBK1-0" w:cs="FZXBSK--GBK1-0"/>
          <w:kern w:val="0"/>
          <w:sz w:val="44"/>
          <w:szCs w:val="44"/>
        </w:rPr>
      </w:pPr>
      <w:r>
        <w:rPr>
          <w:rFonts w:ascii="FZXBSK--GBK1-0" w:eastAsia="FZXBSK--GBK1-0" w:cs="FZXBSK--GBK1-0" w:hint="eastAsia"/>
          <w:kern w:val="0"/>
          <w:sz w:val="44"/>
          <w:szCs w:val="44"/>
        </w:rPr>
        <w:t>软科学研究报告要求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研究报告字数要求在</w:t>
      </w:r>
      <w:r>
        <w:rPr>
          <w:rFonts w:ascii="Times New Roman" w:eastAsia="FZHTK--GBK1-0" w:hAnsi="Times New Roman" w:cs="Times New Roman"/>
          <w:kern w:val="0"/>
          <w:sz w:val="32"/>
          <w:szCs w:val="32"/>
        </w:rPr>
        <w:t>20000</w:t>
      </w:r>
      <w:r>
        <w:rPr>
          <w:rFonts w:ascii="FZFSK--GBK1-0" w:eastAsia="FZFSK--GBK1-0" w:cs="FZFSK--GBK1-0" w:hint="eastAsia"/>
          <w:kern w:val="0"/>
          <w:sz w:val="32"/>
          <w:szCs w:val="32"/>
        </w:rPr>
        <w:t>字以上。报告应涉及主要研究问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题、现状分析、调研案例、实证研究及对策建议等内容，具体框架可根据实际研究情况作适当调整，具体各级标题可自拟，不限定格式。实证及调研的文字篇幅应占总篇幅的</w:t>
      </w:r>
      <w:r>
        <w:rPr>
          <w:rFonts w:ascii="Times New Roman" w:eastAsia="FZFSK--GBK1-0" w:hAnsi="Times New Roman" w:cs="Times New Roman"/>
          <w:kern w:val="0"/>
          <w:sz w:val="32"/>
          <w:szCs w:val="32"/>
        </w:rPr>
        <w:t>50%</w:t>
      </w:r>
      <w:r>
        <w:rPr>
          <w:rFonts w:ascii="FZFSK--GBK1-0" w:eastAsia="FZFSK--GBK1-0" w:cs="FZFSK--GBK1-0" w:hint="eastAsia"/>
          <w:kern w:val="0"/>
          <w:sz w:val="32"/>
          <w:szCs w:val="32"/>
        </w:rPr>
        <w:t>以上。对策建议部分应具有科学依据，有较高的可操作性与可行性，对决策咨询有重要的参考价值。研究报告一律编排并打印在标准</w:t>
      </w:r>
      <w:r>
        <w:rPr>
          <w:rFonts w:ascii="Times New Roman" w:eastAsia="FZFSK--GBK1-0" w:hAnsi="Times New Roman" w:cs="Times New Roman"/>
          <w:kern w:val="0"/>
          <w:sz w:val="32"/>
          <w:szCs w:val="32"/>
        </w:rPr>
        <w:t>A4</w:t>
      </w:r>
      <w:r>
        <w:rPr>
          <w:rFonts w:ascii="FZFSK--GBK1-0" w:eastAsia="FZFSK--GBK1-0" w:cs="FZFSK--GBK1-0" w:hint="eastAsia"/>
          <w:kern w:val="0"/>
          <w:sz w:val="32"/>
          <w:szCs w:val="32"/>
        </w:rPr>
        <w:t>（</w:t>
      </w:r>
      <w:r>
        <w:rPr>
          <w:rFonts w:ascii="Times New Roman" w:eastAsia="FZFSK--GBK1-0" w:hAnsi="Times New Roman" w:cs="Times New Roman"/>
          <w:kern w:val="0"/>
          <w:sz w:val="32"/>
          <w:szCs w:val="32"/>
        </w:rPr>
        <w:t>210×297mm</w:t>
      </w:r>
      <w:r>
        <w:rPr>
          <w:rFonts w:ascii="FZFSK--GBK1-0" w:eastAsia="FZFSK--GBK1-0" w:cs="FZFSK--GBK1-0" w:hint="eastAsia"/>
          <w:kern w:val="0"/>
          <w:sz w:val="32"/>
          <w:szCs w:val="32"/>
        </w:rPr>
        <w:t>）幅面白纸上，封面、目录采用单面印刷，从正文开始采用双面印刷，并按照封面、报告正文、参考文献、附录等顺序进行装订。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软科学研究报告摘要编写格式，具体要求如下：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一、标题（可使用研究项目名称或根据摘要内容拟定名称）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二、项目完成人（只注明项目第一完成人和第二完成人名称和单位，课题组其他成员可以备注形式说明）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三、内容摘要：</w:t>
      </w:r>
      <w:r>
        <w:rPr>
          <w:rFonts w:ascii="Times New Roman" w:eastAsia="FZFSK--GBK1-0" w:hAnsi="Times New Roman" w:cs="Times New Roman"/>
          <w:kern w:val="0"/>
          <w:sz w:val="32"/>
          <w:szCs w:val="32"/>
        </w:rPr>
        <w:t>100</w:t>
      </w:r>
      <w:r>
        <w:rPr>
          <w:rFonts w:ascii="FZFSK--GBK1-0" w:eastAsia="FZFSK--GBK1-0" w:cs="FZFSK--GBK1-0" w:hint="eastAsia"/>
          <w:kern w:val="0"/>
          <w:sz w:val="32"/>
          <w:szCs w:val="32"/>
        </w:rPr>
        <w:t>字左右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四、报告摘要（</w:t>
      </w:r>
      <w:r>
        <w:rPr>
          <w:rFonts w:ascii="Times New Roman" w:eastAsia="FZFSK--GBK1-0" w:hAnsi="Times New Roman" w:cs="Times New Roman"/>
          <w:kern w:val="0"/>
          <w:sz w:val="32"/>
          <w:szCs w:val="32"/>
        </w:rPr>
        <w:t>2000</w:t>
      </w:r>
      <w:r>
        <w:rPr>
          <w:rFonts w:ascii="FZFSK--GBK1-0" w:eastAsia="FZFSK--GBK1-0" w:cs="FZFSK--GBK1-0" w:hint="eastAsia"/>
          <w:kern w:val="0"/>
          <w:sz w:val="32"/>
          <w:szCs w:val="32"/>
        </w:rPr>
        <w:t>字左右，如有</w:t>
      </w:r>
      <w:proofErr w:type="gramStart"/>
      <w:r>
        <w:rPr>
          <w:rFonts w:ascii="FZFSK--GBK1-0" w:eastAsia="FZFSK--GBK1-0" w:cs="FZFSK--GBK1-0" w:hint="eastAsia"/>
          <w:kern w:val="0"/>
          <w:sz w:val="32"/>
          <w:szCs w:val="32"/>
        </w:rPr>
        <w:t>引用请</w:t>
      </w:r>
      <w:proofErr w:type="gramEnd"/>
      <w:r>
        <w:rPr>
          <w:rFonts w:ascii="FZFSK--GBK1-0" w:eastAsia="FZFSK--GBK1-0" w:cs="FZFSK--GBK1-0" w:hint="eastAsia"/>
          <w:kern w:val="0"/>
          <w:sz w:val="32"/>
          <w:szCs w:val="32"/>
        </w:rPr>
        <w:t>以脚注说明出处）</w:t>
      </w:r>
    </w:p>
    <w:p w:rsidR="00FB0FC7" w:rsidRDefault="00FB0FC7" w:rsidP="00FB0FC7">
      <w:pPr>
        <w:autoSpaceDE w:val="0"/>
        <w:autoSpaceDN w:val="0"/>
        <w:adjustRightInd w:val="0"/>
        <w:jc w:val="left"/>
        <w:rPr>
          <w:rFonts w:ascii="FZFSK--GBK1-0" w:eastAsia="FZFSK--GBK1-0" w:cs="FZFSK--GBK1-0"/>
          <w:kern w:val="0"/>
          <w:sz w:val="32"/>
          <w:szCs w:val="32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五、成果应用情况</w:t>
      </w:r>
    </w:p>
    <w:p w:rsidR="00393F4C" w:rsidRDefault="00FB0FC7" w:rsidP="00FB0FC7">
      <w:pPr>
        <w:rPr>
          <w:rFonts w:hint="eastAsia"/>
        </w:rPr>
      </w:pPr>
      <w:r>
        <w:rPr>
          <w:rFonts w:ascii="FZFSK--GBK1-0" w:eastAsia="FZFSK--GBK1-0" w:cs="FZFSK--GBK1-0" w:hint="eastAsia"/>
          <w:kern w:val="0"/>
          <w:sz w:val="32"/>
          <w:szCs w:val="32"/>
        </w:rPr>
        <w:t>六、联系人及联系方式</w:t>
      </w:r>
    </w:p>
    <w:sectPr w:rsidR="00393F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HTK--GBK1-0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XBSK--GBK1-0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FSK--GBK1-0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FC7"/>
    <w:rsid w:val="00393F4C"/>
    <w:rsid w:val="00FB0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JonMMx 2000</cp:lastModifiedBy>
  <cp:revision>1</cp:revision>
  <dcterms:created xsi:type="dcterms:W3CDTF">2020-01-08T02:27:00Z</dcterms:created>
  <dcterms:modified xsi:type="dcterms:W3CDTF">2020-01-08T02:31:00Z</dcterms:modified>
</cp:coreProperties>
</file>