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件</w:t>
      </w:r>
      <w:r>
        <w:rPr>
          <w:rFonts w:hint="eastAsia" w:ascii="宋体" w:hAnsi="宋体" w:eastAsia="宋体" w:cs="宋体"/>
          <w:kern w:val="0"/>
          <w:sz w:val="28"/>
          <w:szCs w:val="28"/>
        </w:rPr>
        <w:t>1：</w:t>
      </w:r>
    </w:p>
    <w:p>
      <w:pPr>
        <w:adjustRightInd w:val="0"/>
        <w:snapToGrid w:val="0"/>
        <w:spacing w:after="156" w:afterLines="50" w:line="600" w:lineRule="exact"/>
        <w:jc w:val="center"/>
        <w:rPr>
          <w:rFonts w:eastAsia="仿宋_GB2312"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南京体育学院第</w:t>
      </w:r>
      <w:r>
        <w:rPr>
          <w:rFonts w:hint="eastAsia" w:ascii="宋体" w:hAnsi="宋体" w:cs="宋体"/>
          <w:b/>
          <w:kern w:val="0"/>
          <w:sz w:val="44"/>
          <w:szCs w:val="44"/>
          <w:lang w:val="en-US" w:eastAsia="zh-CN"/>
        </w:rPr>
        <w:t>五</w:t>
      </w:r>
      <w:r>
        <w:rPr>
          <w:rFonts w:hint="eastAsia" w:ascii="宋体" w:hAnsi="宋体" w:eastAsia="宋体" w:cs="宋体"/>
          <w:b/>
          <w:kern w:val="0"/>
          <w:sz w:val="44"/>
          <w:szCs w:val="44"/>
        </w:rPr>
        <w:t>届微课教学比赛报名表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1275"/>
        <w:gridCol w:w="1276"/>
        <w:gridCol w:w="1278"/>
        <w:gridCol w:w="155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学院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□微课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时长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学科门类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专业类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  <w:p>
            <w:pPr>
              <w:jc w:val="center"/>
              <w:rPr>
                <w:rFonts w:hint="eastAsia"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(第一为主讲人)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所在</w:t>
            </w:r>
            <w:r>
              <w:rPr>
                <w:rFonts w:hint="eastAsia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  <w:r>
              <w:rPr>
                <w:rFonts w:hint="eastAsia" w:eastAsia="仿宋_GB2312"/>
                <w:sz w:val="24"/>
                <w:lang w:val="en-US" w:eastAsia="zh-CN"/>
              </w:rPr>
              <w:t>/</w:t>
            </w:r>
            <w:r>
              <w:rPr>
                <w:rFonts w:eastAsia="仿宋_GB2312"/>
                <w:sz w:val="24"/>
              </w:rPr>
              <w:t>职</w:t>
            </w:r>
            <w:r>
              <w:rPr>
                <w:rFonts w:hint="eastAsia" w:eastAsia="仿宋_GB2312"/>
                <w:sz w:val="24"/>
              </w:rPr>
              <w:t>称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2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hint="eastAsia" w:eastAsia="仿宋_GB2312"/>
                <w:sz w:val="24"/>
                <w:lang w:val="en-US" w:eastAsia="zh-CN"/>
              </w:rPr>
              <w:t>院</w:t>
            </w:r>
          </w:p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Cs w:val="21"/>
        </w:rPr>
        <w:t>注：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学科门类</w:t>
      </w:r>
      <w:r>
        <w:rPr>
          <w:rFonts w:hint="eastAsia" w:ascii="仿宋" w:hAnsi="仿宋" w:eastAsia="仿宋"/>
          <w:lang w:eastAsia="zh-CN"/>
        </w:rPr>
        <w:t>、</w:t>
      </w:r>
      <w:r>
        <w:rPr>
          <w:rFonts w:hint="eastAsia" w:ascii="仿宋" w:hAnsi="仿宋" w:eastAsia="仿宋"/>
          <w:lang w:val="en-US" w:eastAsia="zh-CN"/>
        </w:rPr>
        <w:t>专业类参照《普通高等学校本科专业目录(</w:t>
      </w:r>
      <w:bookmarkStart w:id="0" w:name="_GoBack"/>
      <w:bookmarkEnd w:id="0"/>
      <w:r>
        <w:rPr>
          <w:rFonts w:hint="eastAsia" w:ascii="仿宋" w:hAnsi="仿宋" w:eastAsia="仿宋"/>
          <w:lang w:val="en-US" w:eastAsia="zh-CN"/>
        </w:rPr>
        <w:t>2020年版)》</w:t>
      </w:r>
      <w:r>
        <w:rPr>
          <w:rFonts w:hint="eastAsia" w:ascii="仿宋" w:hAnsi="仿宋" w:eastAsia="仿宋"/>
        </w:rPr>
        <w:t>；</w:t>
      </w:r>
      <w:r>
        <w:rPr>
          <w:rFonts w:ascii="仿宋" w:hAnsi="仿宋" w:eastAsia="仿宋"/>
        </w:rPr>
        <w:t>无专业类别的公共类基础课程</w:t>
      </w:r>
      <w:r>
        <w:rPr>
          <w:rFonts w:hint="eastAsia" w:ascii="仿宋" w:hAnsi="仿宋" w:eastAsia="仿宋"/>
        </w:rPr>
        <w:t>,</w:t>
      </w:r>
      <w:r>
        <w:rPr>
          <w:rFonts w:ascii="仿宋" w:hAnsi="仿宋" w:eastAsia="仿宋"/>
        </w:rPr>
        <w:t>填课程</w:t>
      </w:r>
      <w:r>
        <w:rPr>
          <w:rFonts w:hint="eastAsia" w:ascii="仿宋" w:hAnsi="仿宋" w:eastAsia="仿宋"/>
        </w:rPr>
        <w:t>名称。</w:t>
      </w:r>
    </w:p>
    <w:p>
      <w:pPr>
        <w:widowControl/>
        <w:ind w:firstLine="420" w:firstLineChars="200"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时长：微课填分钟，微课程填一级目录数。</w:t>
      </w:r>
    </w:p>
    <w:p>
      <w:pPr>
        <w:widowControl/>
        <w:ind w:firstLine="420" w:firstLineChars="200"/>
        <w:jc w:val="left"/>
      </w:pPr>
      <w:r>
        <w:rPr>
          <w:rFonts w:ascii="仿宋" w:hAnsi="仿宋" w:eastAsia="仿宋"/>
        </w:rPr>
        <w:t>3.</w:t>
      </w:r>
      <w:r>
        <w:rPr>
          <w:rFonts w:hint="eastAsia" w:ascii="仿宋" w:hAnsi="仿宋" w:eastAsia="仿宋"/>
        </w:rPr>
        <w:t>此表的word版和签字盖章的扫描件（PDF格式）需要上传评审平台。</w:t>
      </w:r>
    </w:p>
    <w:sectPr>
      <w:headerReference r:id="rId3" w:type="default"/>
      <w:footerReference r:id="rId4" w:type="even"/>
      <w:pgSz w:w="11906" w:h="16838"/>
      <w:pgMar w:top="1134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