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60" w:line="360" w:lineRule="auto"/>
        <w:jc w:val="center"/>
        <w:rPr>
          <w:rFonts w:ascii="宋体" w:hAnsi="宋体" w:eastAsia="宋体" w:cs="宋体"/>
          <w:snapToGrid w:val="0"/>
          <w:color w:val="000000"/>
          <w:spacing w:val="-5"/>
          <w:sz w:val="28"/>
          <w:szCs w:val="28"/>
          <w:lang w:val="zh-CN"/>
        </w:rPr>
      </w:pPr>
      <w:bookmarkStart w:id="0" w:name="_GoBack"/>
      <w:r>
        <w:rPr>
          <w:rFonts w:hint="eastAsia" w:ascii="宋体" w:hAnsi="宋体" w:eastAsia="宋体" w:cs="宋体"/>
          <w:snapToGrid w:val="0"/>
          <w:color w:val="000000"/>
          <w:spacing w:val="-5"/>
          <w:sz w:val="28"/>
          <w:szCs w:val="28"/>
          <w:lang w:val="zh-CN"/>
        </w:rPr>
        <w:t>广东省中医药综合监测统计系统需求</w:t>
      </w:r>
    </w:p>
    <w:bookmarkEnd w:id="0"/>
    <w:p>
      <w:pPr>
        <w:spacing w:after="60" w:line="360" w:lineRule="auto"/>
        <w:ind w:firstLine="540" w:firstLineChars="200"/>
        <w:rPr>
          <w:rFonts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通过建设广东省中医药综合监测统计系统，对中医药信息进行有效管理，实现中医药信息报送、数据整合、以及中医药资源、服务、科研教育的统计分析和业务监管，同时通过全省中医病案首页等相关数据分析，为我省中医药事业发展，提供数据支撑，满足以下需求：</w:t>
      </w:r>
    </w:p>
    <w:p>
      <w:pPr>
        <w:pStyle w:val="5"/>
        <w:numPr>
          <w:ilvl w:val="0"/>
          <w:numId w:val="1"/>
        </w:numPr>
        <w:spacing w:after="60" w:line="360" w:lineRule="auto"/>
        <w:ind w:firstLine="540"/>
        <w:rPr>
          <w:rFonts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实现中医药统计网络直报系统（省级平台）建设指南V8</w:t>
      </w:r>
    </w:p>
    <w:p>
      <w:pPr>
        <w:pStyle w:val="5"/>
        <w:numPr>
          <w:ilvl w:val="0"/>
          <w:numId w:val="1"/>
        </w:numPr>
        <w:spacing w:after="60" w:line="360" w:lineRule="auto"/>
        <w:ind w:leftChars="0" w:firstLine="400" w:firstLineChars="0"/>
        <w:rPr>
          <w:rFonts w:hint="eastAsia"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实现中医药统计网络直报系统数据编码指南 V8</w:t>
      </w:r>
    </w:p>
    <w:p>
      <w:pPr>
        <w:pStyle w:val="5"/>
        <w:numPr>
          <w:ilvl w:val="0"/>
          <w:numId w:val="1"/>
        </w:numPr>
        <w:spacing w:after="60" w:line="360" w:lineRule="auto"/>
        <w:ind w:leftChars="0" w:firstLine="400" w:firstLineChars="0"/>
        <w:rPr>
          <w:rFonts w:hint="eastAsia"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实现中医药统计网络直报系统数据交换共享标准指南V8</w:t>
      </w:r>
    </w:p>
    <w:p>
      <w:pPr>
        <w:pStyle w:val="5"/>
        <w:numPr>
          <w:ilvl w:val="0"/>
          <w:numId w:val="1"/>
        </w:numPr>
        <w:spacing w:after="60" w:line="360" w:lineRule="auto"/>
        <w:ind w:leftChars="0" w:firstLine="400" w:firstLineChars="0"/>
        <w:rPr>
          <w:rFonts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实现广东省内中医类医院首页分析系统（首页分析+中医部分统计指标+DRG分析）</w:t>
      </w:r>
    </w:p>
    <w:p>
      <w:pPr>
        <w:pStyle w:val="5"/>
        <w:numPr>
          <w:ilvl w:val="0"/>
          <w:numId w:val="1"/>
        </w:numPr>
        <w:spacing w:after="60" w:line="360" w:lineRule="auto"/>
        <w:ind w:leftChars="0" w:firstLine="400" w:firstLineChars="0"/>
        <w:rPr>
          <w:rFonts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在广东省中医药综合监测统计系统增加部分广东省特色指标</w:t>
      </w:r>
    </w:p>
    <w:p>
      <w:pPr>
        <w:pStyle w:val="5"/>
        <w:spacing w:after="60" w:line="360" w:lineRule="auto"/>
        <w:ind w:leftChars="0" w:firstLineChars="0"/>
        <w:rPr>
          <w:rFonts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rPr>
        <w:t>6）</w:t>
      </w:r>
      <w:r>
        <w:rPr>
          <w:rFonts w:hint="eastAsia" w:ascii="宋体" w:hAnsi="宋体" w:eastAsia="宋体" w:cs="宋体"/>
          <w:snapToGrid w:val="0"/>
          <w:color w:val="000000"/>
          <w:spacing w:val="-5"/>
          <w:sz w:val="28"/>
          <w:szCs w:val="28"/>
          <w:lang w:val="zh-CN"/>
        </w:rPr>
        <w:t>平台接口互联互通</w:t>
      </w:r>
    </w:p>
    <w:p>
      <w:pPr>
        <w:pStyle w:val="5"/>
        <w:spacing w:after="60" w:line="360" w:lineRule="auto"/>
        <w:ind w:leftChars="0" w:firstLineChars="0"/>
        <w:rPr>
          <w:rFonts w:ascii="宋体" w:hAnsi="宋体" w:eastAsia="宋体" w:cs="宋体"/>
          <w:snapToGrid w:val="0"/>
          <w:color w:val="000000"/>
          <w:spacing w:val="-5"/>
          <w:sz w:val="28"/>
          <w:szCs w:val="28"/>
          <w:lang w:val="zh-CN"/>
        </w:rPr>
      </w:pPr>
      <w:r>
        <w:rPr>
          <w:rFonts w:hint="eastAsia" w:ascii="宋体" w:hAnsi="宋体" w:eastAsia="宋体" w:cs="宋体"/>
          <w:snapToGrid w:val="0"/>
          <w:color w:val="000000"/>
          <w:spacing w:val="-5"/>
          <w:sz w:val="28"/>
          <w:szCs w:val="28"/>
          <w:lang w:val="zh-CN"/>
        </w:rPr>
        <w:t>与本省国家卫生统计信息网络直报系统的横向对接，对《国家中医药综合统计制度》和《全国卫生资源与医疗服务统计调查制度》相关报表中的相同指标数据，通过系统互通共享的方式实现有机衔接，</w:t>
      </w:r>
      <w:r>
        <w:rPr>
          <w:rFonts w:hint="eastAsia" w:ascii="宋体" w:hAnsi="宋体" w:eastAsia="宋体" w:cs="宋体"/>
          <w:snapToGrid w:val="0"/>
          <w:color w:val="000000"/>
          <w:spacing w:val="-5"/>
          <w:sz w:val="28"/>
          <w:szCs w:val="28"/>
        </w:rPr>
        <w:t>此外，可逐步实现与其他相关领域系统的横向对接获取中医药相关共享数据</w:t>
      </w:r>
      <w:r>
        <w:rPr>
          <w:rFonts w:hint="eastAsia" w:ascii="宋体" w:hAnsi="宋体" w:eastAsia="宋体" w:cs="宋体"/>
          <w:snapToGrid w:val="0"/>
          <w:color w:val="000000"/>
          <w:spacing w:val="-5"/>
          <w:sz w:val="28"/>
          <w:szCs w:val="28"/>
          <w:lang w:val="zh-CN"/>
        </w:rPr>
        <w:t>。</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4167C6"/>
    <w:multiLevelType w:val="singleLevel"/>
    <w:tmpl w:val="414167C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278"/>
    <w:rsid w:val="00067E7D"/>
    <w:rsid w:val="00307CFC"/>
    <w:rsid w:val="005227C7"/>
    <w:rsid w:val="00584210"/>
    <w:rsid w:val="005E1AF4"/>
    <w:rsid w:val="00707278"/>
    <w:rsid w:val="007403DB"/>
    <w:rsid w:val="00A44B49"/>
    <w:rsid w:val="00AC1FEE"/>
    <w:rsid w:val="00AD06BD"/>
    <w:rsid w:val="14EA2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semiHidden/>
    <w:unhideWhenUsed/>
    <w:qFormat/>
    <w:uiPriority w:val="99"/>
    <w:pPr>
      <w:spacing w:after="120"/>
      <w:ind w:left="420" w:leftChars="200"/>
    </w:p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link w:val="11"/>
    <w:qFormat/>
    <w:uiPriority w:val="0"/>
    <w:pPr>
      <w:adjustRightInd w:val="0"/>
      <w:spacing w:before="60" w:line="360" w:lineRule="atLeast"/>
      <w:ind w:firstLine="420" w:firstLineChars="200"/>
      <w:textAlignment w:val="baseline"/>
    </w:pPr>
    <w:rPr>
      <w:rFonts w:ascii="黑体" w:hAnsi="Times New Roman" w:eastAsia="黑体" w:cs="Times New Roman"/>
      <w:kern w:val="0"/>
      <w:sz w:val="24"/>
      <w:szCs w:val="20"/>
    </w:rPr>
  </w:style>
  <w:style w:type="character" w:customStyle="1" w:styleId="8">
    <w:name w:val="页眉 Char"/>
    <w:basedOn w:val="7"/>
    <w:link w:val="4"/>
    <w:semiHidden/>
    <w:uiPriority w:val="99"/>
    <w:rPr>
      <w:sz w:val="18"/>
      <w:szCs w:val="18"/>
    </w:rPr>
  </w:style>
  <w:style w:type="character" w:customStyle="1" w:styleId="9">
    <w:name w:val="页脚 Char"/>
    <w:basedOn w:val="7"/>
    <w:link w:val="3"/>
    <w:semiHidden/>
    <w:uiPriority w:val="99"/>
    <w:rPr>
      <w:sz w:val="18"/>
      <w:szCs w:val="18"/>
    </w:rPr>
  </w:style>
  <w:style w:type="character" w:customStyle="1" w:styleId="10">
    <w:name w:val="正文文本缩进 Char"/>
    <w:basedOn w:val="7"/>
    <w:link w:val="2"/>
    <w:semiHidden/>
    <w:qFormat/>
    <w:uiPriority w:val="99"/>
  </w:style>
  <w:style w:type="character" w:customStyle="1" w:styleId="11">
    <w:name w:val="正文首行缩进 2 Char"/>
    <w:basedOn w:val="10"/>
    <w:link w:val="5"/>
    <w:qFormat/>
    <w:uiPriority w:val="0"/>
    <w:rPr>
      <w:rFonts w:ascii="黑体" w:hAnsi="Times New Roman" w:eastAsia="黑体" w:cs="Times New Roman"/>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61</Words>
  <Characters>351</Characters>
  <Lines>2</Lines>
  <Paragraphs>1</Paragraphs>
  <TotalTime>63</TotalTime>
  <ScaleCrop>false</ScaleCrop>
  <LinksUpToDate>false</LinksUpToDate>
  <CharactersWithSpaces>411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2023-10-31T09:16:00Z</dcterms:created>
  <dc:creator>Lenovo</dc:creator>
  <cp:lastModifiedBy>JwZh</cp:lastModifiedBy>
  <dcterms:modified xsi:type="dcterms:W3CDTF">2023-11-02T09:39:53Z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A3549D7D5F3740BAA6C5D05B1C95095A_13</vt:lpwstr>
  </property>
</Properties>
</file>